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a"/>
        <w:tblpPr w:leftFromText="180" w:rightFromText="180" w:vertAnchor="text" w:horzAnchor="margin" w:tblpXSpec="center" w:tblpY="-271"/>
        <w:tblW w:w="99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71"/>
        <w:gridCol w:w="123"/>
        <w:gridCol w:w="1662"/>
        <w:gridCol w:w="1456"/>
        <w:gridCol w:w="1609"/>
        <w:gridCol w:w="1396"/>
      </w:tblGrid>
      <w:tr w:rsidR="004A7F04" w14:paraId="65EC9402" w14:textId="77777777" w:rsidTr="004A7F04">
        <w:tc>
          <w:tcPr>
            <w:tcW w:w="9917" w:type="dxa"/>
            <w:gridSpan w:val="6"/>
            <w:tcBorders>
              <w:top w:val="single" w:sz="4" w:space="0" w:color="000000"/>
              <w:left w:val="single" w:sz="4" w:space="0" w:color="000000"/>
              <w:bottom w:val="single" w:sz="4" w:space="0" w:color="000000"/>
              <w:right w:val="single" w:sz="4" w:space="0" w:color="000000"/>
            </w:tcBorders>
          </w:tcPr>
          <w:p w14:paraId="2F6C39A7" w14:textId="77777777" w:rsidR="004A7F04" w:rsidRDefault="004A7F04" w:rsidP="004A7F04">
            <w:pPr>
              <w:ind w:left="0" w:hanging="2"/>
              <w:textDirection w:val="lrTb"/>
              <w:rPr>
                <w:color w:val="000000"/>
              </w:rPr>
            </w:pPr>
            <w:r>
              <w:rPr>
                <w:b/>
                <w:color w:val="000000"/>
              </w:rPr>
              <w:t xml:space="preserve">Study level: </w:t>
            </w:r>
            <w:r>
              <w:rPr>
                <w:color w:val="000000"/>
              </w:rPr>
              <w:t>Peace, Security and Development</w:t>
            </w:r>
          </w:p>
        </w:tc>
      </w:tr>
      <w:tr w:rsidR="004A7F04" w14:paraId="7F74A421" w14:textId="77777777" w:rsidTr="004A7F04">
        <w:tc>
          <w:tcPr>
            <w:tcW w:w="9917" w:type="dxa"/>
            <w:gridSpan w:val="6"/>
            <w:tcBorders>
              <w:top w:val="single" w:sz="4" w:space="0" w:color="000000"/>
              <w:left w:val="single" w:sz="4" w:space="0" w:color="000000"/>
              <w:bottom w:val="single" w:sz="4" w:space="0" w:color="000000"/>
              <w:right w:val="single" w:sz="4" w:space="0" w:color="000000"/>
            </w:tcBorders>
          </w:tcPr>
          <w:p w14:paraId="3FF6F07C" w14:textId="77777777" w:rsidR="004A7F04" w:rsidRDefault="004A7F04" w:rsidP="004A7F04">
            <w:pPr>
              <w:ind w:left="0" w:hanging="2"/>
              <w:textDirection w:val="lrTb"/>
              <w:rPr>
                <w:color w:val="000000"/>
              </w:rPr>
            </w:pPr>
            <w:r>
              <w:rPr>
                <w:b/>
                <w:color w:val="000000"/>
              </w:rPr>
              <w:t xml:space="preserve">Course title: </w:t>
            </w:r>
            <w:r>
              <w:rPr>
                <w:color w:val="000000"/>
              </w:rPr>
              <w:t>Regional peace and security through cinema</w:t>
            </w:r>
          </w:p>
        </w:tc>
      </w:tr>
      <w:tr w:rsidR="004A7F04" w14:paraId="2350D874" w14:textId="77777777" w:rsidTr="004A7F04">
        <w:tc>
          <w:tcPr>
            <w:tcW w:w="9917" w:type="dxa"/>
            <w:gridSpan w:val="6"/>
            <w:tcBorders>
              <w:top w:val="single" w:sz="4" w:space="0" w:color="000000"/>
              <w:left w:val="single" w:sz="4" w:space="0" w:color="000000"/>
              <w:bottom w:val="single" w:sz="4" w:space="0" w:color="000000"/>
              <w:right w:val="single" w:sz="4" w:space="0" w:color="000000"/>
            </w:tcBorders>
          </w:tcPr>
          <w:p w14:paraId="38C97316" w14:textId="2684678F" w:rsidR="004A7F04" w:rsidRDefault="004A7F04" w:rsidP="004A7F04">
            <w:pPr>
              <w:ind w:left="0" w:hanging="2"/>
              <w:textDirection w:val="lrTb"/>
              <w:rPr>
                <w:color w:val="000000"/>
              </w:rPr>
            </w:pPr>
            <w:r>
              <w:rPr>
                <w:b/>
                <w:color w:val="000000"/>
              </w:rPr>
              <w:t xml:space="preserve">Professor: </w:t>
            </w:r>
            <w:r>
              <w:rPr>
                <w:color w:val="000000"/>
              </w:rPr>
              <w:t xml:space="preserve"> Filip Ejdus</w:t>
            </w:r>
            <w:r w:rsidR="00D95843">
              <w:rPr>
                <w:color w:val="000000"/>
              </w:rPr>
              <w:t xml:space="preserve">, </w:t>
            </w:r>
            <w:r>
              <w:rPr>
                <w:color w:val="000000"/>
              </w:rPr>
              <w:t>Nemanja Džuverović</w:t>
            </w:r>
            <w:r w:rsidR="00D95843">
              <w:rPr>
                <w:color w:val="000000"/>
              </w:rPr>
              <w:t>, Marko Kovačević, Tijana Rečević</w:t>
            </w:r>
          </w:p>
        </w:tc>
      </w:tr>
      <w:tr w:rsidR="004A7F04" w14:paraId="00523EDB" w14:textId="77777777" w:rsidTr="004A7F04">
        <w:tc>
          <w:tcPr>
            <w:tcW w:w="9917" w:type="dxa"/>
            <w:gridSpan w:val="6"/>
            <w:tcBorders>
              <w:top w:val="single" w:sz="4" w:space="0" w:color="000000"/>
              <w:left w:val="single" w:sz="4" w:space="0" w:color="000000"/>
              <w:bottom w:val="single" w:sz="4" w:space="0" w:color="000000"/>
              <w:right w:val="single" w:sz="4" w:space="0" w:color="000000"/>
            </w:tcBorders>
          </w:tcPr>
          <w:p w14:paraId="6F8C9C3A" w14:textId="77777777" w:rsidR="004A7F04" w:rsidRDefault="004A7F04" w:rsidP="004A7F04">
            <w:pPr>
              <w:ind w:left="0" w:hanging="2"/>
              <w:textDirection w:val="lrTb"/>
              <w:rPr>
                <w:color w:val="000000"/>
              </w:rPr>
            </w:pPr>
            <w:r>
              <w:rPr>
                <w:b/>
                <w:color w:val="000000"/>
              </w:rPr>
              <w:t xml:space="preserve">Compulsory/Elective: </w:t>
            </w:r>
            <w:r w:rsidRPr="00A87528">
              <w:rPr>
                <w:bCs/>
                <w:color w:val="000000"/>
              </w:rPr>
              <w:t>E</w:t>
            </w:r>
            <w:r>
              <w:rPr>
                <w:color w:val="000000"/>
              </w:rPr>
              <w:t>lective</w:t>
            </w:r>
          </w:p>
        </w:tc>
      </w:tr>
      <w:tr w:rsidR="004A7F04" w14:paraId="76ED6718" w14:textId="77777777" w:rsidTr="004A7F04">
        <w:tc>
          <w:tcPr>
            <w:tcW w:w="9917" w:type="dxa"/>
            <w:gridSpan w:val="6"/>
            <w:tcBorders>
              <w:top w:val="single" w:sz="4" w:space="0" w:color="000000"/>
              <w:left w:val="single" w:sz="4" w:space="0" w:color="000000"/>
              <w:bottom w:val="single" w:sz="4" w:space="0" w:color="000000"/>
              <w:right w:val="single" w:sz="4" w:space="0" w:color="000000"/>
            </w:tcBorders>
          </w:tcPr>
          <w:p w14:paraId="6E420CAE" w14:textId="77777777" w:rsidR="004A7F04" w:rsidRDefault="004A7F04" w:rsidP="004A7F04">
            <w:pPr>
              <w:ind w:left="0" w:hanging="2"/>
              <w:textDirection w:val="lrTb"/>
              <w:rPr>
                <w:color w:val="000000"/>
              </w:rPr>
            </w:pPr>
            <w:r>
              <w:rPr>
                <w:b/>
                <w:color w:val="000000"/>
              </w:rPr>
              <w:t xml:space="preserve">Number of ECTS: </w:t>
            </w:r>
            <w:r>
              <w:rPr>
                <w:color w:val="000000"/>
              </w:rPr>
              <w:t>6</w:t>
            </w:r>
          </w:p>
        </w:tc>
      </w:tr>
      <w:tr w:rsidR="004A7F04" w14:paraId="6538467B" w14:textId="77777777" w:rsidTr="004A7F04">
        <w:tc>
          <w:tcPr>
            <w:tcW w:w="9917" w:type="dxa"/>
            <w:gridSpan w:val="6"/>
            <w:tcBorders>
              <w:top w:val="single" w:sz="4" w:space="0" w:color="000000"/>
              <w:left w:val="single" w:sz="4" w:space="0" w:color="000000"/>
              <w:bottom w:val="single" w:sz="4" w:space="0" w:color="000000"/>
              <w:right w:val="single" w:sz="4" w:space="0" w:color="000000"/>
            </w:tcBorders>
          </w:tcPr>
          <w:p w14:paraId="0C9903ED" w14:textId="77777777" w:rsidR="004A7F04" w:rsidRDefault="004A7F04" w:rsidP="004A7F04">
            <w:pPr>
              <w:ind w:left="0" w:hanging="2"/>
              <w:textDirection w:val="lrTb"/>
              <w:rPr>
                <w:color w:val="000000"/>
              </w:rPr>
            </w:pPr>
            <w:r>
              <w:rPr>
                <w:b/>
                <w:color w:val="000000"/>
              </w:rPr>
              <w:t xml:space="preserve">Condition: </w:t>
            </w:r>
            <w:r>
              <w:rPr>
                <w:color w:val="000000"/>
              </w:rPr>
              <w:t>none</w:t>
            </w:r>
          </w:p>
        </w:tc>
      </w:tr>
      <w:tr w:rsidR="004A7F04" w14:paraId="10A0C693" w14:textId="77777777" w:rsidTr="00D95843">
        <w:trPr>
          <w:trHeight w:val="2369"/>
        </w:trPr>
        <w:tc>
          <w:tcPr>
            <w:tcW w:w="9917" w:type="dxa"/>
            <w:gridSpan w:val="6"/>
            <w:tcBorders>
              <w:top w:val="single" w:sz="4" w:space="0" w:color="000000"/>
              <w:left w:val="single" w:sz="4" w:space="0" w:color="000000"/>
              <w:bottom w:val="single" w:sz="4" w:space="0" w:color="000000"/>
              <w:right w:val="single" w:sz="4" w:space="0" w:color="000000"/>
            </w:tcBorders>
          </w:tcPr>
          <w:p w14:paraId="3AF4BD0B" w14:textId="77777777" w:rsidR="004A7F04" w:rsidRDefault="004A7F04" w:rsidP="004A7F04">
            <w:pPr>
              <w:spacing w:after="60"/>
              <w:ind w:left="0" w:hanging="2"/>
              <w:textDirection w:val="lrTb"/>
              <w:rPr>
                <w:color w:val="000000"/>
              </w:rPr>
            </w:pPr>
            <w:r>
              <w:rPr>
                <w:b/>
                <w:color w:val="000000"/>
              </w:rPr>
              <w:t>Aim of the course</w:t>
            </w:r>
          </w:p>
          <w:p w14:paraId="5A051919" w14:textId="4085B2DD" w:rsidR="004A7F04" w:rsidRDefault="004A7F04" w:rsidP="00D95843">
            <w:pPr>
              <w:widowControl/>
              <w:pBdr>
                <w:top w:val="nil"/>
                <w:left w:val="nil"/>
                <w:bottom w:val="nil"/>
                <w:right w:val="nil"/>
                <w:between w:val="nil"/>
              </w:pBdr>
              <w:spacing w:after="120" w:line="240" w:lineRule="auto"/>
              <w:ind w:left="0" w:hanging="2"/>
              <w:jc w:val="both"/>
              <w:textDirection w:val="lrTb"/>
              <w:rPr>
                <w:color w:val="000000"/>
              </w:rPr>
            </w:pPr>
            <w:r>
              <w:rPr>
                <w:color w:val="000000"/>
              </w:rPr>
              <w:t xml:space="preserve">The aim of this course is to familiarize students with major debates in peace and security studies as well as key peace and security dynamics in major conflict-affected regions of the world through film. The course is divided into an intro and 11 weeks of lectures/discussions accompanied by two reading weeks and an exam. While the first week is devoted to a theoretical introduction on the use of cinema in researching peace and conflict, the rest of the course is covering eleven different regions of the world through one film. Each film is accompanied by a reading list that covers both the theoretical and empirical issues which will be discussed during the week. Lectures and seminars constitute the primary forms of teaching this course. While the lectures introduce the students to overall regional peace and security dynamics, seminars are devoted to discussing these issues through the film assigned for that week. </w:t>
            </w:r>
          </w:p>
        </w:tc>
      </w:tr>
      <w:tr w:rsidR="004A7F04" w14:paraId="57C813EC" w14:textId="77777777" w:rsidTr="00D95843">
        <w:trPr>
          <w:trHeight w:val="1225"/>
        </w:trPr>
        <w:tc>
          <w:tcPr>
            <w:tcW w:w="9917" w:type="dxa"/>
            <w:gridSpan w:val="6"/>
            <w:tcBorders>
              <w:top w:val="single" w:sz="4" w:space="0" w:color="000000"/>
              <w:left w:val="single" w:sz="4" w:space="0" w:color="000000"/>
              <w:bottom w:val="single" w:sz="4" w:space="0" w:color="000000"/>
              <w:right w:val="single" w:sz="4" w:space="0" w:color="000000"/>
            </w:tcBorders>
          </w:tcPr>
          <w:p w14:paraId="02EEBDDD" w14:textId="77777777" w:rsidR="004A7F04" w:rsidRDefault="004A7F04" w:rsidP="004A7F04">
            <w:pPr>
              <w:ind w:left="0" w:hanging="2"/>
              <w:textDirection w:val="lrTb"/>
              <w:rPr>
                <w:color w:val="000000"/>
              </w:rPr>
            </w:pPr>
            <w:r>
              <w:rPr>
                <w:b/>
                <w:color w:val="000000"/>
              </w:rPr>
              <w:t>Outcome of the course</w:t>
            </w:r>
          </w:p>
          <w:p w14:paraId="1BF66D34" w14:textId="642BAC6D" w:rsidR="004A7F04" w:rsidRDefault="004A7F04" w:rsidP="00D95843">
            <w:pPr>
              <w:spacing w:after="120"/>
              <w:ind w:left="0" w:hanging="2"/>
              <w:jc w:val="both"/>
              <w:textDirection w:val="lrTb"/>
              <w:rPr>
                <w:color w:val="000000"/>
              </w:rPr>
            </w:pPr>
            <w:r>
              <w:rPr>
                <w:color w:val="000000"/>
              </w:rPr>
              <w:t>After completing this course, students will have a basic knowledge of key theoretical issues in peace and security studies. Moreover, they will command basic empirical knowledge about peace and security dynamics in major regions of the world. Finally, they will be capable of independently using film and popular culture more broadly to study world politics.</w:t>
            </w:r>
          </w:p>
        </w:tc>
      </w:tr>
      <w:tr w:rsidR="004A7F04" w14:paraId="3EED96AB" w14:textId="77777777" w:rsidTr="004A7F04">
        <w:tc>
          <w:tcPr>
            <w:tcW w:w="9917" w:type="dxa"/>
            <w:gridSpan w:val="6"/>
            <w:tcBorders>
              <w:top w:val="single" w:sz="4" w:space="0" w:color="000000"/>
              <w:left w:val="single" w:sz="4" w:space="0" w:color="000000"/>
              <w:bottom w:val="single" w:sz="4" w:space="0" w:color="000000"/>
              <w:right w:val="single" w:sz="4" w:space="0" w:color="000000"/>
            </w:tcBorders>
          </w:tcPr>
          <w:p w14:paraId="31B11FC6" w14:textId="77777777" w:rsidR="004A7F04" w:rsidRDefault="004A7F04" w:rsidP="004A7F04">
            <w:pPr>
              <w:ind w:left="0" w:hanging="2"/>
              <w:textDirection w:val="lrTb"/>
              <w:rPr>
                <w:color w:val="000000"/>
              </w:rPr>
            </w:pPr>
            <w:r>
              <w:rPr>
                <w:b/>
                <w:color w:val="000000"/>
              </w:rPr>
              <w:t>Content of the course</w:t>
            </w:r>
          </w:p>
          <w:p w14:paraId="731CBD01" w14:textId="77777777" w:rsidR="004A7F04" w:rsidRDefault="004A7F04" w:rsidP="004A7F04">
            <w:pPr>
              <w:ind w:left="0" w:hanging="2"/>
              <w:textDirection w:val="lrTb"/>
              <w:rPr>
                <w:color w:val="000000"/>
              </w:rPr>
            </w:pPr>
          </w:p>
          <w:p w14:paraId="308BB38B" w14:textId="77777777" w:rsidR="004A7F04" w:rsidRDefault="004A7F04" w:rsidP="004A7F04">
            <w:pPr>
              <w:ind w:left="0" w:hanging="2"/>
              <w:textDirection w:val="lrTb"/>
              <w:rPr>
                <w:color w:val="000000"/>
              </w:rPr>
            </w:pPr>
            <w:r>
              <w:rPr>
                <w:color w:val="000000"/>
              </w:rPr>
              <w:t>1. Peace and Security through cinema</w:t>
            </w:r>
          </w:p>
          <w:p w14:paraId="7A73AFCA" w14:textId="77777777" w:rsidR="004A7F04" w:rsidRDefault="004A7F04" w:rsidP="004A7F04">
            <w:pPr>
              <w:ind w:left="0" w:hanging="2"/>
              <w:textDirection w:val="lrTb"/>
              <w:rPr>
                <w:color w:val="000000"/>
              </w:rPr>
            </w:pPr>
            <w:r>
              <w:rPr>
                <w:color w:val="000000"/>
              </w:rPr>
              <w:t>2. Western Balkans and ethnic conflict</w:t>
            </w:r>
          </w:p>
          <w:p w14:paraId="432BBF7C" w14:textId="77777777" w:rsidR="004A7F04" w:rsidRDefault="004A7F04" w:rsidP="004A7F04">
            <w:pPr>
              <w:ind w:left="0" w:hanging="2"/>
              <w:textDirection w:val="lrTb"/>
              <w:rPr>
                <w:color w:val="000000"/>
              </w:rPr>
            </w:pPr>
            <w:r>
              <w:rPr>
                <w:color w:val="000000"/>
              </w:rPr>
              <w:t>3. Post-soviet space and civil war</w:t>
            </w:r>
          </w:p>
          <w:p w14:paraId="005DCF7E" w14:textId="77777777" w:rsidR="004A7F04" w:rsidRDefault="004A7F04" w:rsidP="004A7F04">
            <w:pPr>
              <w:ind w:left="0" w:hanging="2"/>
              <w:textDirection w:val="lrTb"/>
              <w:rPr>
                <w:color w:val="000000"/>
              </w:rPr>
            </w:pPr>
            <w:r>
              <w:rPr>
                <w:color w:val="000000"/>
              </w:rPr>
              <w:t>4. Middle East and occupation</w:t>
            </w:r>
          </w:p>
          <w:p w14:paraId="29EDC747" w14:textId="77777777" w:rsidR="004A7F04" w:rsidRDefault="004A7F04" w:rsidP="004A7F04">
            <w:pPr>
              <w:ind w:left="0" w:hanging="2"/>
              <w:textDirection w:val="lrTb"/>
              <w:rPr>
                <w:color w:val="000000"/>
              </w:rPr>
            </w:pPr>
            <w:r>
              <w:rPr>
                <w:color w:val="000000"/>
              </w:rPr>
              <w:t>5. North Africa and decolonisation</w:t>
            </w:r>
          </w:p>
          <w:p w14:paraId="2202B29B" w14:textId="77777777" w:rsidR="004A7F04" w:rsidRDefault="004A7F04" w:rsidP="004A7F04">
            <w:pPr>
              <w:ind w:left="0" w:hanging="2"/>
              <w:textDirection w:val="lrTb"/>
              <w:rPr>
                <w:color w:val="000000"/>
              </w:rPr>
            </w:pPr>
            <w:r>
              <w:rPr>
                <w:color w:val="000000"/>
              </w:rPr>
              <w:t>6. Subsaharan Africa and peacebuilding</w:t>
            </w:r>
          </w:p>
          <w:p w14:paraId="5C8AB4EE" w14:textId="77777777" w:rsidR="004A7F04" w:rsidRDefault="004A7F04" w:rsidP="004A7F04">
            <w:pPr>
              <w:ind w:left="0" w:hanging="2"/>
              <w:textDirection w:val="lrTb"/>
              <w:rPr>
                <w:color w:val="000000"/>
              </w:rPr>
            </w:pPr>
            <w:r>
              <w:rPr>
                <w:color w:val="000000"/>
              </w:rPr>
              <w:t>7. Horn of Africa and terrorism</w:t>
            </w:r>
          </w:p>
          <w:p w14:paraId="504BF962" w14:textId="77777777" w:rsidR="004A7F04" w:rsidRDefault="004A7F04" w:rsidP="004A7F04">
            <w:pPr>
              <w:ind w:left="0" w:hanging="2"/>
              <w:textDirection w:val="lrTb"/>
              <w:rPr>
                <w:color w:val="000000"/>
              </w:rPr>
            </w:pPr>
            <w:r>
              <w:rPr>
                <w:color w:val="000000"/>
              </w:rPr>
              <w:t>8. Latin America and urban insecurity</w:t>
            </w:r>
          </w:p>
          <w:p w14:paraId="0DAB0629" w14:textId="77777777" w:rsidR="004A7F04" w:rsidRDefault="004A7F04" w:rsidP="004A7F04">
            <w:pPr>
              <w:ind w:left="0" w:hanging="2"/>
              <w:textDirection w:val="lrTb"/>
              <w:rPr>
                <w:color w:val="000000"/>
              </w:rPr>
            </w:pPr>
            <w:r>
              <w:rPr>
                <w:color w:val="000000"/>
              </w:rPr>
              <w:t>9. East Asia and North Korean nuclear problem</w:t>
            </w:r>
          </w:p>
          <w:p w14:paraId="75181966" w14:textId="77777777" w:rsidR="004A7F04" w:rsidRDefault="004A7F04" w:rsidP="004A7F04">
            <w:pPr>
              <w:ind w:left="0" w:hanging="2"/>
              <w:textDirection w:val="lrTb"/>
              <w:rPr>
                <w:color w:val="000000"/>
              </w:rPr>
            </w:pPr>
            <w:r>
              <w:rPr>
                <w:color w:val="000000"/>
              </w:rPr>
              <w:t>10. South Asia and ontological insecurity</w:t>
            </w:r>
          </w:p>
          <w:p w14:paraId="38935B56" w14:textId="77777777" w:rsidR="004A7F04" w:rsidRDefault="004A7F04" w:rsidP="004A7F04">
            <w:pPr>
              <w:ind w:left="0" w:hanging="2"/>
              <w:textDirection w:val="lrTb"/>
              <w:rPr>
                <w:color w:val="000000"/>
              </w:rPr>
            </w:pPr>
            <w:r>
              <w:rPr>
                <w:color w:val="000000"/>
              </w:rPr>
              <w:t>11. South East Asia and transitional justice</w:t>
            </w:r>
          </w:p>
          <w:p w14:paraId="0823C0B2" w14:textId="77777777" w:rsidR="004A7F04" w:rsidRDefault="004A7F04" w:rsidP="004A7F04">
            <w:pPr>
              <w:ind w:left="0" w:hanging="2"/>
              <w:textDirection w:val="lrTb"/>
              <w:rPr>
                <w:color w:val="000000"/>
              </w:rPr>
            </w:pPr>
            <w:r>
              <w:rPr>
                <w:color w:val="000000"/>
              </w:rPr>
              <w:t>12. Central Asia and Forever Wars</w:t>
            </w:r>
          </w:p>
          <w:p w14:paraId="5EA426F5" w14:textId="77777777" w:rsidR="004A7F04" w:rsidRDefault="004A7F04" w:rsidP="004A7F04">
            <w:pPr>
              <w:ind w:left="0" w:hanging="2"/>
              <w:textDirection w:val="lrTb"/>
              <w:rPr>
                <w:color w:val="000000"/>
              </w:rPr>
            </w:pPr>
            <w:r>
              <w:rPr>
                <w:color w:val="000000"/>
              </w:rPr>
              <w:t>13. Reading week</w:t>
            </w:r>
          </w:p>
          <w:p w14:paraId="5A776AFB" w14:textId="77777777" w:rsidR="004A7F04" w:rsidRDefault="004A7F04" w:rsidP="004A7F04">
            <w:pPr>
              <w:ind w:left="0" w:hanging="2"/>
              <w:textDirection w:val="lrTb"/>
              <w:rPr>
                <w:color w:val="000000"/>
              </w:rPr>
            </w:pPr>
            <w:r>
              <w:rPr>
                <w:color w:val="000000"/>
              </w:rPr>
              <w:t>14. Reading week</w:t>
            </w:r>
          </w:p>
          <w:p w14:paraId="32500131" w14:textId="77777777" w:rsidR="004A7F04" w:rsidRDefault="004A7F04" w:rsidP="004A7F04">
            <w:pPr>
              <w:ind w:left="0" w:hanging="2"/>
              <w:textDirection w:val="lrTb"/>
              <w:rPr>
                <w:color w:val="000000"/>
              </w:rPr>
            </w:pPr>
            <w:r>
              <w:rPr>
                <w:color w:val="000000"/>
              </w:rPr>
              <w:t>15. Exam</w:t>
            </w:r>
          </w:p>
          <w:p w14:paraId="424A7EC1" w14:textId="77777777" w:rsidR="004A7F04" w:rsidRDefault="004A7F04" w:rsidP="004A7F04">
            <w:pPr>
              <w:ind w:left="0" w:hanging="2"/>
              <w:textDirection w:val="lrTb"/>
              <w:rPr>
                <w:color w:val="000000"/>
              </w:rPr>
            </w:pPr>
          </w:p>
        </w:tc>
      </w:tr>
      <w:tr w:rsidR="004A7F04" w14:paraId="0267187A" w14:textId="77777777" w:rsidTr="004A7F04">
        <w:tc>
          <w:tcPr>
            <w:tcW w:w="9917" w:type="dxa"/>
            <w:gridSpan w:val="6"/>
            <w:tcBorders>
              <w:top w:val="single" w:sz="4" w:space="0" w:color="000000"/>
              <w:left w:val="single" w:sz="4" w:space="0" w:color="000000"/>
              <w:bottom w:val="single" w:sz="4" w:space="0" w:color="000000"/>
              <w:right w:val="single" w:sz="4" w:space="0" w:color="000000"/>
            </w:tcBorders>
          </w:tcPr>
          <w:p w14:paraId="3BB9EED2" w14:textId="77777777" w:rsidR="004A7F04" w:rsidRDefault="004A7F04" w:rsidP="004A7F04">
            <w:pPr>
              <w:ind w:left="0" w:hanging="2"/>
              <w:textDirection w:val="lrTb"/>
              <w:rPr>
                <w:color w:val="000000"/>
              </w:rPr>
            </w:pPr>
            <w:r>
              <w:rPr>
                <w:b/>
                <w:color w:val="000000"/>
              </w:rPr>
              <w:t>Literature</w:t>
            </w:r>
          </w:p>
          <w:p w14:paraId="670BB9D1" w14:textId="77777777" w:rsidR="004A7F04" w:rsidRDefault="004A7F04" w:rsidP="004A7F04">
            <w:pPr>
              <w:widowControl/>
              <w:pBdr>
                <w:top w:val="nil"/>
                <w:left w:val="nil"/>
                <w:bottom w:val="nil"/>
                <w:right w:val="nil"/>
                <w:between w:val="nil"/>
              </w:pBdr>
              <w:spacing w:line="240" w:lineRule="auto"/>
              <w:ind w:left="0" w:hanging="2"/>
              <w:jc w:val="both"/>
              <w:textDirection w:val="lrTb"/>
              <w:rPr>
                <w:color w:val="000000"/>
              </w:rPr>
            </w:pPr>
          </w:p>
          <w:p w14:paraId="47E4645C" w14:textId="77777777" w:rsidR="004A7F04" w:rsidRDefault="004A7F04" w:rsidP="004A7F04">
            <w:pPr>
              <w:tabs>
                <w:tab w:val="left" w:pos="567"/>
              </w:tabs>
              <w:ind w:left="0" w:hanging="2"/>
              <w:textDirection w:val="lrTb"/>
              <w:rPr>
                <w:color w:val="000000"/>
              </w:rPr>
            </w:pPr>
            <w:r>
              <w:rPr>
                <w:b/>
                <w:color w:val="000000"/>
              </w:rPr>
              <w:t xml:space="preserve">Мovies: </w:t>
            </w:r>
          </w:p>
          <w:p w14:paraId="1FEB0AAB" w14:textId="77777777" w:rsidR="004A7F04" w:rsidRDefault="004A7F04" w:rsidP="004A7F04">
            <w:pPr>
              <w:tabs>
                <w:tab w:val="left" w:pos="567"/>
              </w:tabs>
              <w:ind w:left="0" w:hanging="2"/>
              <w:textDirection w:val="lrTb"/>
              <w:rPr>
                <w:color w:val="000000"/>
              </w:rPr>
            </w:pPr>
            <w:r>
              <w:rPr>
                <w:color w:val="000000"/>
              </w:rPr>
              <w:t>Лепа села лепо горе, 1996</w:t>
            </w:r>
          </w:p>
          <w:p w14:paraId="17051585" w14:textId="77777777" w:rsidR="004A7F04" w:rsidRDefault="004A7F04" w:rsidP="004A7F04">
            <w:pPr>
              <w:tabs>
                <w:tab w:val="left" w:pos="567"/>
              </w:tabs>
              <w:ind w:left="0" w:hanging="2"/>
              <w:textDirection w:val="lrTb"/>
            </w:pPr>
            <w:r>
              <w:rPr>
                <w:color w:val="000000"/>
              </w:rPr>
              <w:t>Tangerines, 2013</w:t>
            </w:r>
          </w:p>
          <w:p w14:paraId="39174929" w14:textId="77777777" w:rsidR="004A7F04" w:rsidRDefault="004A7F04" w:rsidP="004A7F04">
            <w:pPr>
              <w:widowControl/>
              <w:pBdr>
                <w:top w:val="nil"/>
                <w:left w:val="nil"/>
                <w:bottom w:val="nil"/>
                <w:right w:val="nil"/>
                <w:between w:val="nil"/>
              </w:pBdr>
              <w:spacing w:line="240" w:lineRule="auto"/>
              <w:ind w:left="0" w:hanging="2"/>
              <w:jc w:val="both"/>
              <w:textDirection w:val="lrTb"/>
              <w:rPr>
                <w:color w:val="000000"/>
              </w:rPr>
            </w:pPr>
            <w:r>
              <w:rPr>
                <w:color w:val="000000"/>
              </w:rPr>
              <w:t>The Gatekeepers, 2012</w:t>
            </w:r>
          </w:p>
          <w:p w14:paraId="4D5E8C6D" w14:textId="77777777" w:rsidR="004A7F04" w:rsidRDefault="004A7F04" w:rsidP="004A7F04">
            <w:pPr>
              <w:widowControl/>
              <w:pBdr>
                <w:top w:val="nil"/>
                <w:left w:val="nil"/>
                <w:bottom w:val="nil"/>
                <w:right w:val="nil"/>
                <w:between w:val="nil"/>
              </w:pBdr>
              <w:spacing w:line="240" w:lineRule="auto"/>
              <w:ind w:left="0" w:hanging="2"/>
              <w:jc w:val="both"/>
              <w:textDirection w:val="lrTb"/>
              <w:rPr>
                <w:color w:val="000000"/>
              </w:rPr>
            </w:pPr>
            <w:r>
              <w:rPr>
                <w:color w:val="000000"/>
              </w:rPr>
              <w:t>The Battle of Algiers, 1966</w:t>
            </w:r>
          </w:p>
          <w:p w14:paraId="3F3E05F8" w14:textId="77777777" w:rsidR="004A7F04" w:rsidRDefault="004A7F04" w:rsidP="004A7F04">
            <w:pPr>
              <w:widowControl/>
              <w:pBdr>
                <w:top w:val="nil"/>
                <w:left w:val="nil"/>
                <w:bottom w:val="nil"/>
                <w:right w:val="nil"/>
                <w:between w:val="nil"/>
              </w:pBdr>
              <w:spacing w:line="240" w:lineRule="auto"/>
              <w:ind w:left="0" w:hanging="2"/>
              <w:jc w:val="both"/>
              <w:textDirection w:val="lrTb"/>
              <w:rPr>
                <w:color w:val="000000"/>
              </w:rPr>
            </w:pPr>
            <w:r>
              <w:rPr>
                <w:color w:val="000000"/>
              </w:rPr>
              <w:t>This is Congo, 2017</w:t>
            </w:r>
          </w:p>
          <w:p w14:paraId="4977C2CD" w14:textId="77777777" w:rsidR="004A7F04" w:rsidRDefault="004A7F04" w:rsidP="004A7F04">
            <w:pPr>
              <w:widowControl/>
              <w:pBdr>
                <w:top w:val="nil"/>
                <w:left w:val="nil"/>
                <w:bottom w:val="nil"/>
                <w:right w:val="nil"/>
                <w:between w:val="nil"/>
              </w:pBdr>
              <w:spacing w:line="240" w:lineRule="auto"/>
              <w:ind w:left="0" w:hanging="2"/>
              <w:jc w:val="both"/>
              <w:textDirection w:val="lrTb"/>
              <w:rPr>
                <w:color w:val="000000"/>
              </w:rPr>
            </w:pPr>
            <w:r>
              <w:rPr>
                <w:color w:val="000000"/>
              </w:rPr>
              <w:t>Eye in the Sky, 2015</w:t>
            </w:r>
          </w:p>
          <w:p w14:paraId="127905CC" w14:textId="77777777" w:rsidR="004A7F04" w:rsidRDefault="004A7F04" w:rsidP="004A7F04">
            <w:pPr>
              <w:widowControl/>
              <w:pBdr>
                <w:top w:val="nil"/>
                <w:left w:val="nil"/>
                <w:bottom w:val="nil"/>
                <w:right w:val="nil"/>
                <w:between w:val="nil"/>
              </w:pBdr>
              <w:spacing w:line="240" w:lineRule="auto"/>
              <w:ind w:left="0" w:hanging="2"/>
              <w:jc w:val="both"/>
              <w:textDirection w:val="lrTb"/>
              <w:rPr>
                <w:color w:val="000000"/>
              </w:rPr>
            </w:pPr>
            <w:r>
              <w:rPr>
                <w:color w:val="000000"/>
              </w:rPr>
              <w:t>Tropa de Ellite, 2007</w:t>
            </w:r>
          </w:p>
          <w:p w14:paraId="47E015FC" w14:textId="77777777" w:rsidR="004A7F04" w:rsidRDefault="004A7F04" w:rsidP="004A7F04">
            <w:pPr>
              <w:widowControl/>
              <w:pBdr>
                <w:top w:val="nil"/>
                <w:left w:val="nil"/>
                <w:bottom w:val="nil"/>
                <w:right w:val="nil"/>
                <w:between w:val="nil"/>
              </w:pBdr>
              <w:spacing w:line="240" w:lineRule="auto"/>
              <w:ind w:left="0" w:hanging="2"/>
              <w:jc w:val="both"/>
              <w:textDirection w:val="lrTb"/>
              <w:rPr>
                <w:color w:val="000000"/>
              </w:rPr>
            </w:pPr>
            <w:r>
              <w:rPr>
                <w:color w:val="000000"/>
              </w:rPr>
              <w:t>The Mole: Undercover in North Korea, 2020</w:t>
            </w:r>
          </w:p>
          <w:p w14:paraId="7AB84B32" w14:textId="77777777" w:rsidR="004A7F04" w:rsidRDefault="004A7F04" w:rsidP="004A7F04">
            <w:pPr>
              <w:widowControl/>
              <w:pBdr>
                <w:top w:val="nil"/>
                <w:left w:val="nil"/>
                <w:bottom w:val="nil"/>
                <w:right w:val="nil"/>
                <w:between w:val="nil"/>
              </w:pBdr>
              <w:spacing w:line="240" w:lineRule="auto"/>
              <w:ind w:left="0" w:hanging="2"/>
              <w:jc w:val="both"/>
              <w:textDirection w:val="lrTb"/>
              <w:rPr>
                <w:color w:val="000000"/>
              </w:rPr>
            </w:pPr>
            <w:r>
              <w:rPr>
                <w:color w:val="000000"/>
              </w:rPr>
              <w:t>Hotel Mumbai India, 2018</w:t>
            </w:r>
          </w:p>
          <w:p w14:paraId="0B29B787" w14:textId="77777777" w:rsidR="004A7F04" w:rsidRDefault="004A7F04" w:rsidP="004A7F04">
            <w:pPr>
              <w:widowControl/>
              <w:pBdr>
                <w:top w:val="nil"/>
                <w:left w:val="nil"/>
                <w:bottom w:val="nil"/>
                <w:right w:val="nil"/>
                <w:between w:val="nil"/>
              </w:pBdr>
              <w:spacing w:line="240" w:lineRule="auto"/>
              <w:ind w:left="0" w:hanging="2"/>
              <w:jc w:val="both"/>
              <w:textDirection w:val="lrTb"/>
              <w:rPr>
                <w:color w:val="000000"/>
              </w:rPr>
            </w:pPr>
            <w:r>
              <w:rPr>
                <w:color w:val="000000"/>
              </w:rPr>
              <w:t>The Act of Killing, 2012</w:t>
            </w:r>
          </w:p>
          <w:p w14:paraId="5A725AFB" w14:textId="77777777" w:rsidR="004A7F04" w:rsidRDefault="004A7F04" w:rsidP="004A7F04">
            <w:pPr>
              <w:widowControl/>
              <w:pBdr>
                <w:top w:val="nil"/>
                <w:left w:val="nil"/>
                <w:bottom w:val="nil"/>
                <w:right w:val="nil"/>
                <w:between w:val="nil"/>
              </w:pBdr>
              <w:spacing w:line="240" w:lineRule="auto"/>
              <w:ind w:left="0" w:hanging="2"/>
              <w:jc w:val="both"/>
              <w:textDirection w:val="lrTb"/>
              <w:rPr>
                <w:color w:val="000000"/>
              </w:rPr>
            </w:pPr>
            <w:r>
              <w:rPr>
                <w:color w:val="000000"/>
              </w:rPr>
              <w:t>Zero Dark Thirty, 2012</w:t>
            </w:r>
          </w:p>
          <w:p w14:paraId="70193E13" w14:textId="77777777" w:rsidR="004A7F04" w:rsidRDefault="004A7F04" w:rsidP="004A7F04">
            <w:pPr>
              <w:widowControl/>
              <w:pBdr>
                <w:top w:val="nil"/>
                <w:left w:val="nil"/>
                <w:bottom w:val="nil"/>
                <w:right w:val="nil"/>
                <w:between w:val="nil"/>
              </w:pBdr>
              <w:spacing w:line="240" w:lineRule="auto"/>
              <w:ind w:left="0" w:hanging="2"/>
              <w:jc w:val="both"/>
              <w:textDirection w:val="lrTb"/>
              <w:rPr>
                <w:color w:val="000000"/>
              </w:rPr>
            </w:pPr>
          </w:p>
          <w:p w14:paraId="136F5884" w14:textId="77777777" w:rsidR="004A7F04" w:rsidRDefault="004A7F04" w:rsidP="004A7F04">
            <w:pPr>
              <w:widowControl/>
              <w:pBdr>
                <w:top w:val="nil"/>
                <w:left w:val="nil"/>
                <w:bottom w:val="nil"/>
                <w:right w:val="nil"/>
                <w:between w:val="nil"/>
              </w:pBdr>
              <w:spacing w:line="240" w:lineRule="auto"/>
              <w:ind w:left="0" w:hanging="2"/>
              <w:jc w:val="both"/>
              <w:textDirection w:val="lrTb"/>
              <w:rPr>
                <w:color w:val="000000"/>
              </w:rPr>
            </w:pPr>
            <w:r>
              <w:rPr>
                <w:b/>
                <w:color w:val="000000"/>
              </w:rPr>
              <w:t xml:space="preserve">Books and Articles: </w:t>
            </w:r>
          </w:p>
          <w:p w14:paraId="31A36BF0" w14:textId="77777777" w:rsidR="004A7F04" w:rsidRDefault="004A7F04" w:rsidP="004A7F04">
            <w:pPr>
              <w:widowControl/>
              <w:pBdr>
                <w:top w:val="nil"/>
                <w:left w:val="nil"/>
                <w:bottom w:val="nil"/>
                <w:right w:val="nil"/>
                <w:between w:val="nil"/>
              </w:pBdr>
              <w:spacing w:line="240" w:lineRule="auto"/>
              <w:ind w:left="0" w:hanging="2"/>
              <w:jc w:val="both"/>
              <w:textDirection w:val="lrTb"/>
              <w:rPr>
                <w:color w:val="000000"/>
              </w:rPr>
            </w:pPr>
            <w:r>
              <w:rPr>
                <w:color w:val="000000"/>
              </w:rPr>
              <w:t xml:space="preserve">Ahmad, Aisha. 2014. “The Security Bazaar: Business Interests and Islamist Power in Civil War Somalia." </w:t>
            </w:r>
            <w:r>
              <w:rPr>
                <w:i/>
                <w:color w:val="000000"/>
              </w:rPr>
              <w:t>International Security</w:t>
            </w:r>
            <w:r>
              <w:rPr>
                <w:color w:val="000000"/>
              </w:rPr>
              <w:t xml:space="preserve"> 39.3 (2014): 89-117; Autesserre, Séverine. 2010. </w:t>
            </w:r>
            <w:r>
              <w:rPr>
                <w:i/>
                <w:color w:val="000000"/>
              </w:rPr>
              <w:t>The Trouble with the Congo: Local Violence and the Failure of International Peacebuilding</w:t>
            </w:r>
            <w:r>
              <w:rPr>
                <w:color w:val="000000"/>
              </w:rPr>
              <w:t xml:space="preserve">. Cambridge University Press; Barkawi, Tarak. 2016. “Decolonizing war.” </w:t>
            </w:r>
            <w:r>
              <w:rPr>
                <w:i/>
                <w:color w:val="000000"/>
              </w:rPr>
              <w:t>European Journal of International Security</w:t>
            </w:r>
            <w:r>
              <w:rPr>
                <w:color w:val="000000"/>
              </w:rPr>
              <w:t xml:space="preserve"> 1 (2): 199-214; Biondi, Karina. 2016. </w:t>
            </w:r>
            <w:r>
              <w:rPr>
                <w:i/>
                <w:color w:val="000000"/>
              </w:rPr>
              <w:t>Sharing this Walk: An Ethnography of Prison Life and PCC in Brazil</w:t>
            </w:r>
            <w:r>
              <w:rPr>
                <w:color w:val="000000"/>
              </w:rPr>
              <w:t xml:space="preserve">. Chapel Hill: University of North Carolina Press; </w:t>
            </w:r>
            <w:r>
              <w:rPr>
                <w:color w:val="000000"/>
                <w:highlight w:val="white"/>
              </w:rPr>
              <w:t xml:space="preserve">Buzan, Barry, and Ole Wæver. 2003. </w:t>
            </w:r>
            <w:r>
              <w:rPr>
                <w:i/>
                <w:color w:val="000000"/>
                <w:highlight w:val="white"/>
              </w:rPr>
              <w:t xml:space="preserve">Regions and Powers: </w:t>
            </w:r>
            <w:r>
              <w:rPr>
                <w:i/>
                <w:color w:val="000000"/>
                <w:highlight w:val="white"/>
              </w:rPr>
              <w:lastRenderedPageBreak/>
              <w:t xml:space="preserve">The Structure of International Security. </w:t>
            </w:r>
            <w:r>
              <w:rPr>
                <w:color w:val="000000"/>
                <w:highlight w:val="white"/>
              </w:rPr>
              <w:t xml:space="preserve">Cambridge: Cambridge University Press. (Chapters on Western Balkans, post-Soviet space, Middle East, Africa, East Asia, South Asia, Central Asia); Caspersen, Nina and Gareth Stansfield (eds.). 2010. </w:t>
            </w:r>
            <w:r>
              <w:rPr>
                <w:i/>
                <w:color w:val="000000"/>
                <w:highlight w:val="white"/>
              </w:rPr>
              <w:t>Unrecognized States in the International System</w:t>
            </w:r>
            <w:r>
              <w:rPr>
                <w:color w:val="000000"/>
                <w:highlight w:val="white"/>
              </w:rPr>
              <w:t xml:space="preserve">. London: Routledge, 2010 (Chapter 9: Abkhazia and South Ossetia); </w:t>
            </w:r>
            <w:r>
              <w:rPr>
                <w:color w:val="000000"/>
              </w:rPr>
              <w:t xml:space="preserve">Chestnut, Sheena. 2007. “Illicit Activity and Proliferation: North Korean Smuggling Metworks.” </w:t>
            </w:r>
            <w:r>
              <w:rPr>
                <w:i/>
                <w:color w:val="000000"/>
              </w:rPr>
              <w:t>International Security</w:t>
            </w:r>
            <w:r>
              <w:rPr>
                <w:color w:val="000000"/>
              </w:rPr>
              <w:t xml:space="preserve"> 32 (1): 80-111; Collier, Paul and Nicholas Sambanis (eds). 2005. </w:t>
            </w:r>
            <w:r>
              <w:rPr>
                <w:i/>
                <w:color w:val="000000"/>
              </w:rPr>
              <w:t>Understanding Civil War. Volume 2: Europe, Central Asia and Other Regions</w:t>
            </w:r>
            <w:r>
              <w:rPr>
                <w:color w:val="000000"/>
              </w:rPr>
              <w:t xml:space="preserve">. Washington, DC: The World Bank. (Chapter 9: Civil Wars in Caucasus); Dixit, Priya. 2014. “Decolonizing Visuality in Security Studies: Reflections on the Death of Osama bin Laden.” </w:t>
            </w:r>
            <w:r>
              <w:rPr>
                <w:i/>
                <w:color w:val="000000"/>
              </w:rPr>
              <w:t>Critical Studies on Security</w:t>
            </w:r>
            <w:r>
              <w:rPr>
                <w:color w:val="000000"/>
              </w:rPr>
              <w:t xml:space="preserve"> 2 (3): 337-351; Friend, Thedore. 2003. </w:t>
            </w:r>
            <w:r>
              <w:rPr>
                <w:i/>
                <w:color w:val="000000"/>
              </w:rPr>
              <w:t>Indonesian Destinies.</w:t>
            </w:r>
            <w:r>
              <w:rPr>
                <w:color w:val="000000"/>
              </w:rPr>
              <w:t xml:space="preserve"> Cambridge, MA: The Belknap Press of Harvard University Press, 100-129; </w:t>
            </w:r>
            <w:r>
              <w:rPr>
                <w:color w:val="000000"/>
                <w:highlight w:val="white"/>
              </w:rPr>
              <w:t xml:space="preserve">Gelvin, James L. 2014. </w:t>
            </w:r>
            <w:r>
              <w:rPr>
                <w:i/>
                <w:color w:val="000000"/>
                <w:highlight w:val="white"/>
              </w:rPr>
              <w:t>The Israel-Palestine Conflict: One Hundred Years of War</w:t>
            </w:r>
            <w:r>
              <w:rPr>
                <w:color w:val="000000"/>
                <w:highlight w:val="white"/>
              </w:rPr>
              <w:t xml:space="preserve">. Cambridge: Cambridge University Press; </w:t>
            </w:r>
            <w:r>
              <w:rPr>
                <w:color w:val="000000"/>
              </w:rPr>
              <w:t xml:space="preserve">Grayson, Kyle, Davies, Matt, and Simon Philpott. 2009. “Pop Goes IR? Researching the Popular Culture–World Politics Continuum.” </w:t>
            </w:r>
            <w:r>
              <w:rPr>
                <w:i/>
                <w:color w:val="000000"/>
              </w:rPr>
              <w:t>Politics</w:t>
            </w:r>
            <w:r>
              <w:rPr>
                <w:color w:val="000000"/>
              </w:rPr>
              <w:t xml:space="preserve">, 29.3: 155-163; Jütersonke, Oliver, Muggah, Robert and Dennis Rodgers. 2009. “Gangs, Urban Violence, and Security Interventions in Central America.” </w:t>
            </w:r>
            <w:r>
              <w:rPr>
                <w:i/>
                <w:color w:val="000000"/>
              </w:rPr>
              <w:t>Security Dialogue</w:t>
            </w:r>
            <w:r>
              <w:rPr>
                <w:color w:val="000000"/>
              </w:rPr>
              <w:t xml:space="preserve"> 40 (4-5): 373-397; </w:t>
            </w:r>
            <w:r>
              <w:rPr>
                <w:color w:val="000000"/>
                <w:highlight w:val="white"/>
              </w:rPr>
              <w:t xml:space="preserve">Kappler, Stefanie, and Oliver Richmond. 2011. “Peacebuilding and culture in Bosnia and Herzegovina: Resistance or emancipation?” </w:t>
            </w:r>
            <w:r>
              <w:rPr>
                <w:i/>
                <w:color w:val="000000"/>
                <w:highlight w:val="white"/>
              </w:rPr>
              <w:t>Security Dialogue</w:t>
            </w:r>
            <w:r>
              <w:rPr>
                <w:color w:val="000000"/>
                <w:highlight w:val="white"/>
              </w:rPr>
              <w:t xml:space="preserve"> 42 (3): 261-278; Kinnvall, Catarina. 2019. “Populism, Ontological Insecurity and Hindutva: Modi and the Masculinization of Indian Politics.” </w:t>
            </w:r>
            <w:r>
              <w:rPr>
                <w:i/>
                <w:color w:val="000000"/>
                <w:highlight w:val="white"/>
              </w:rPr>
              <w:t>Cambridge Review of International Affairs</w:t>
            </w:r>
            <w:r>
              <w:rPr>
                <w:color w:val="000000"/>
                <w:highlight w:val="white"/>
              </w:rPr>
              <w:t xml:space="preserve"> 32 (3): 283-302; Mac Ginty, Roger. 2010. “Warlords and the Liberal Peace: State-building in Afghanistan.” </w:t>
            </w:r>
            <w:r>
              <w:rPr>
                <w:i/>
                <w:color w:val="000000"/>
                <w:highlight w:val="white"/>
              </w:rPr>
              <w:t>Conflict, Security and Development</w:t>
            </w:r>
            <w:r>
              <w:rPr>
                <w:color w:val="000000"/>
                <w:highlight w:val="white"/>
              </w:rPr>
              <w:t xml:space="preserve"> 10 (4): 577-598; </w:t>
            </w:r>
            <w:r>
              <w:rPr>
                <w:color w:val="000000"/>
                <w:shd w:val="clear" w:color="auto" w:fill="FCFCFC"/>
              </w:rPr>
              <w:t xml:space="preserve">McEvoy-Levy, Siobhan. 2018. </w:t>
            </w:r>
            <w:r>
              <w:rPr>
                <w:i/>
                <w:color w:val="000000"/>
                <w:shd w:val="clear" w:color="auto" w:fill="FCFCFC"/>
              </w:rPr>
              <w:t>Peace and Resistance in Youth Cultures. Reading the Politics of Peacebuilding from Harry Potter to The Hunger Games</w:t>
            </w:r>
            <w:r>
              <w:rPr>
                <w:color w:val="000000"/>
                <w:shd w:val="clear" w:color="auto" w:fill="FCFCFC"/>
              </w:rPr>
              <w:t xml:space="preserve">. London: Palgrave Macmillan; </w:t>
            </w:r>
            <w:r>
              <w:rPr>
                <w:color w:val="000000"/>
                <w:highlight w:val="white"/>
              </w:rPr>
              <w:t xml:space="preserve">McEvoy-Levy, Siobhan. 2017. “The Hunger Games: Theorizing Opportunities for Peace Education.” </w:t>
            </w:r>
            <w:r>
              <w:rPr>
                <w:i/>
                <w:color w:val="000000"/>
              </w:rPr>
              <w:t xml:space="preserve">Peace and Conflict: Journal of Peace Psychology, </w:t>
            </w:r>
            <w:r>
              <w:rPr>
                <w:color w:val="000000"/>
              </w:rPr>
              <w:t>23 (</w:t>
            </w:r>
            <w:r>
              <w:rPr>
                <w:color w:val="000000"/>
                <w:highlight w:val="white"/>
              </w:rPr>
              <w:t xml:space="preserve">1): 23-33. </w:t>
            </w:r>
            <w:r>
              <w:rPr>
                <w:color w:val="000000"/>
              </w:rPr>
              <w:t xml:space="preserve">Nexon, Daniel and Iver B. Neumann, (eds). 2006. </w:t>
            </w:r>
            <w:r>
              <w:rPr>
                <w:i/>
                <w:color w:val="000000"/>
              </w:rPr>
              <w:t>Harry Potter and World Politics</w:t>
            </w:r>
            <w:r>
              <w:rPr>
                <w:color w:val="000000"/>
              </w:rPr>
              <w:t xml:space="preserve">. Lanham: Rowman &amp; Littlefield Publishers; Posen, Barry R. 1993. “The Security Dilemma and Ethnic Conflict.” </w:t>
            </w:r>
            <w:r>
              <w:rPr>
                <w:i/>
                <w:color w:val="000000"/>
              </w:rPr>
              <w:t>Survival</w:t>
            </w:r>
            <w:r>
              <w:rPr>
                <w:color w:val="000000"/>
              </w:rPr>
              <w:t xml:space="preserve"> 35 (1): 27-47.</w:t>
            </w:r>
          </w:p>
          <w:p w14:paraId="6570A190" w14:textId="77777777" w:rsidR="004A7F04" w:rsidRDefault="004A7F04" w:rsidP="004A7F04">
            <w:pPr>
              <w:widowControl/>
              <w:pBdr>
                <w:top w:val="nil"/>
                <w:left w:val="nil"/>
                <w:bottom w:val="nil"/>
                <w:right w:val="nil"/>
                <w:between w:val="nil"/>
              </w:pBdr>
              <w:spacing w:line="240" w:lineRule="auto"/>
              <w:ind w:left="0" w:hanging="2"/>
              <w:jc w:val="both"/>
              <w:textDirection w:val="lrTb"/>
              <w:rPr>
                <w:color w:val="000000"/>
              </w:rPr>
            </w:pPr>
            <w:r>
              <w:rPr>
                <w:color w:val="000000"/>
                <w:highlight w:val="white"/>
              </w:rPr>
              <w:t xml:space="preserve">Richmond, Oliver, Poggoda, Sandra and Jasmin Ramović (eds). 2016. </w:t>
            </w:r>
            <w:r>
              <w:rPr>
                <w:i/>
                <w:color w:val="000000"/>
                <w:highlight w:val="white"/>
              </w:rPr>
              <w:t>The Palgrave Handbook of Disciplinary and Regional Approaches to Peace</w:t>
            </w:r>
            <w:r>
              <w:rPr>
                <w:color w:val="000000"/>
                <w:highlight w:val="white"/>
              </w:rPr>
              <w:t xml:space="preserve">. London: Palgrave Macmillan. (Chapters 24, 25, 30, 32, 33); </w:t>
            </w:r>
            <w:r>
              <w:rPr>
                <w:color w:val="000000"/>
              </w:rPr>
              <w:t xml:space="preserve">Ruane, Abigail E., and Patrick James. 2012. </w:t>
            </w:r>
            <w:r>
              <w:rPr>
                <w:i/>
                <w:color w:val="000000"/>
              </w:rPr>
              <w:t>The International Relations of Middle-Earth: Learning from The Lord of the Rings</w:t>
            </w:r>
            <w:r>
              <w:rPr>
                <w:color w:val="000000"/>
              </w:rPr>
              <w:t xml:space="preserve">. Ann Arbour: University of Michigan Press; Turner, Mandy. “Peacebuilding as Counterinsurgency in the Occupied Palestinian Territory.” 2015. </w:t>
            </w:r>
            <w:r>
              <w:rPr>
                <w:i/>
                <w:color w:val="000000"/>
              </w:rPr>
              <w:t>Review of International Studies</w:t>
            </w:r>
            <w:r>
              <w:rPr>
                <w:color w:val="000000"/>
              </w:rPr>
              <w:t xml:space="preserve">: 73-98; Weber, Cynthia. 2021. </w:t>
            </w:r>
            <w:r>
              <w:rPr>
                <w:i/>
                <w:color w:val="000000"/>
              </w:rPr>
              <w:t>International Relations Theory: A Critical Introduction</w:t>
            </w:r>
            <w:r>
              <w:rPr>
                <w:color w:val="000000"/>
              </w:rPr>
              <w:t xml:space="preserve">. Routledge; Westad, Odd Arne. 2011. </w:t>
            </w:r>
            <w:r>
              <w:rPr>
                <w:i/>
                <w:color w:val="000000"/>
              </w:rPr>
              <w:t>The Global Cold War: Third World Interventions and the Making of our Times</w:t>
            </w:r>
            <w:r>
              <w:rPr>
                <w:color w:val="000000"/>
              </w:rPr>
              <w:t>. Cambridge: Cambridge University Press.</w:t>
            </w:r>
          </w:p>
          <w:p w14:paraId="2CF3072D" w14:textId="77777777" w:rsidR="004A7F04" w:rsidRDefault="004A7F04" w:rsidP="004A7F04">
            <w:pPr>
              <w:widowControl/>
              <w:pBdr>
                <w:top w:val="nil"/>
                <w:left w:val="nil"/>
                <w:bottom w:val="nil"/>
                <w:right w:val="nil"/>
                <w:between w:val="nil"/>
              </w:pBdr>
              <w:spacing w:line="240" w:lineRule="auto"/>
              <w:ind w:left="0" w:hanging="2"/>
              <w:jc w:val="both"/>
              <w:textDirection w:val="lrTb"/>
              <w:rPr>
                <w:color w:val="000000"/>
                <w:sz w:val="24"/>
                <w:szCs w:val="24"/>
              </w:rPr>
            </w:pPr>
          </w:p>
        </w:tc>
      </w:tr>
      <w:tr w:rsidR="004A7F04" w14:paraId="634A836A" w14:textId="77777777" w:rsidTr="004A7F04">
        <w:trPr>
          <w:trHeight w:val="426"/>
        </w:trPr>
        <w:tc>
          <w:tcPr>
            <w:tcW w:w="3794" w:type="dxa"/>
            <w:gridSpan w:val="2"/>
            <w:tcBorders>
              <w:top w:val="single" w:sz="4" w:space="0" w:color="000000"/>
              <w:left w:val="single" w:sz="4" w:space="0" w:color="000000"/>
              <w:bottom w:val="single" w:sz="4" w:space="0" w:color="000000"/>
              <w:right w:val="single" w:sz="4" w:space="0" w:color="000000"/>
            </w:tcBorders>
            <w:vAlign w:val="center"/>
          </w:tcPr>
          <w:p w14:paraId="4822AC9A" w14:textId="77777777" w:rsidR="004A7F04" w:rsidRDefault="004A7F04" w:rsidP="004A7F04">
            <w:pPr>
              <w:ind w:left="0" w:hanging="2"/>
              <w:jc w:val="center"/>
              <w:textDirection w:val="lrTb"/>
              <w:rPr>
                <w:color w:val="000000"/>
              </w:rPr>
            </w:pPr>
            <w:r>
              <w:rPr>
                <w:b/>
                <w:color w:val="000000"/>
              </w:rPr>
              <w:lastRenderedPageBreak/>
              <w:t xml:space="preserve">Total classes of active teaching: </w:t>
            </w:r>
          </w:p>
        </w:tc>
        <w:tc>
          <w:tcPr>
            <w:tcW w:w="3118" w:type="dxa"/>
            <w:gridSpan w:val="2"/>
            <w:tcBorders>
              <w:top w:val="single" w:sz="4" w:space="0" w:color="000000"/>
              <w:left w:val="single" w:sz="4" w:space="0" w:color="000000"/>
              <w:bottom w:val="single" w:sz="4" w:space="0" w:color="000000"/>
              <w:right w:val="single" w:sz="4" w:space="0" w:color="000000"/>
            </w:tcBorders>
            <w:vAlign w:val="center"/>
          </w:tcPr>
          <w:p w14:paraId="75447732" w14:textId="3F3A411E" w:rsidR="004A7F04" w:rsidRDefault="004A7F04" w:rsidP="004A7F04">
            <w:pPr>
              <w:ind w:left="0" w:hanging="2"/>
              <w:jc w:val="center"/>
              <w:textDirection w:val="lrTb"/>
              <w:rPr>
                <w:color w:val="000000"/>
              </w:rPr>
            </w:pPr>
            <w:r>
              <w:rPr>
                <w:b/>
                <w:color w:val="000000"/>
              </w:rPr>
              <w:t xml:space="preserve">Theoretical classes: </w:t>
            </w:r>
            <w:r w:rsidR="00D95843">
              <w:rPr>
                <w:b/>
                <w:color w:val="000000"/>
              </w:rPr>
              <w:t>7</w:t>
            </w:r>
            <w:r>
              <w:rPr>
                <w:b/>
                <w:color w:val="000000"/>
              </w:rPr>
              <w:t>0</w:t>
            </w:r>
          </w:p>
        </w:tc>
        <w:tc>
          <w:tcPr>
            <w:tcW w:w="3005" w:type="dxa"/>
            <w:gridSpan w:val="2"/>
            <w:tcBorders>
              <w:top w:val="single" w:sz="4" w:space="0" w:color="000000"/>
              <w:left w:val="single" w:sz="4" w:space="0" w:color="000000"/>
              <w:bottom w:val="single" w:sz="4" w:space="0" w:color="000000"/>
              <w:right w:val="single" w:sz="4" w:space="0" w:color="000000"/>
            </w:tcBorders>
            <w:vAlign w:val="center"/>
          </w:tcPr>
          <w:p w14:paraId="5E9DB58B" w14:textId="77777777" w:rsidR="004A7F04" w:rsidRDefault="004A7F04" w:rsidP="004A7F04">
            <w:pPr>
              <w:ind w:left="0" w:hanging="2"/>
              <w:jc w:val="center"/>
              <w:textDirection w:val="lrTb"/>
              <w:rPr>
                <w:color w:val="000000"/>
              </w:rPr>
            </w:pPr>
            <w:r>
              <w:rPr>
                <w:b/>
                <w:color w:val="000000"/>
              </w:rPr>
              <w:t>Practical classes: 30</w:t>
            </w:r>
          </w:p>
        </w:tc>
      </w:tr>
      <w:tr w:rsidR="004A7F04" w14:paraId="2D628E9F" w14:textId="77777777" w:rsidTr="004A7F04">
        <w:trPr>
          <w:trHeight w:val="599"/>
        </w:trPr>
        <w:tc>
          <w:tcPr>
            <w:tcW w:w="9917" w:type="dxa"/>
            <w:gridSpan w:val="6"/>
            <w:tcBorders>
              <w:top w:val="single" w:sz="4" w:space="0" w:color="000000"/>
              <w:left w:val="single" w:sz="4" w:space="0" w:color="000000"/>
              <w:bottom w:val="single" w:sz="4" w:space="0" w:color="000000"/>
              <w:right w:val="single" w:sz="4" w:space="0" w:color="000000"/>
            </w:tcBorders>
          </w:tcPr>
          <w:p w14:paraId="3CA06541" w14:textId="77777777" w:rsidR="004A7F04" w:rsidRDefault="004A7F04" w:rsidP="004A7F04">
            <w:pPr>
              <w:ind w:left="0" w:hanging="2"/>
              <w:jc w:val="both"/>
              <w:textDirection w:val="lrTb"/>
              <w:rPr>
                <w:color w:val="000000"/>
              </w:rPr>
            </w:pPr>
            <w:r>
              <w:rPr>
                <w:b/>
                <w:color w:val="000000"/>
              </w:rPr>
              <w:t>Teaching methods:</w:t>
            </w:r>
          </w:p>
          <w:p w14:paraId="70595018" w14:textId="77777777" w:rsidR="004A7F04" w:rsidRDefault="004A7F04" w:rsidP="004A7F04">
            <w:pPr>
              <w:ind w:left="0" w:hanging="2"/>
              <w:jc w:val="both"/>
              <w:textDirection w:val="lrTb"/>
              <w:rPr>
                <w:color w:val="000000"/>
              </w:rPr>
            </w:pPr>
            <w:r>
              <w:rPr>
                <w:color w:val="000000"/>
              </w:rPr>
              <w:t xml:space="preserve">Lectures and seminars </w:t>
            </w:r>
          </w:p>
        </w:tc>
      </w:tr>
      <w:tr w:rsidR="004A7F04" w14:paraId="408A3A8C" w14:textId="77777777" w:rsidTr="004A7F04">
        <w:tc>
          <w:tcPr>
            <w:tcW w:w="9917" w:type="dxa"/>
            <w:gridSpan w:val="6"/>
            <w:tcBorders>
              <w:top w:val="single" w:sz="4" w:space="0" w:color="000000"/>
              <w:left w:val="single" w:sz="4" w:space="0" w:color="000000"/>
              <w:bottom w:val="single" w:sz="4" w:space="0" w:color="000000"/>
              <w:right w:val="single" w:sz="4" w:space="0" w:color="000000"/>
            </w:tcBorders>
          </w:tcPr>
          <w:p w14:paraId="390644CD" w14:textId="77777777" w:rsidR="004A7F04" w:rsidRDefault="004A7F04" w:rsidP="004A7F04">
            <w:pPr>
              <w:ind w:left="0" w:hanging="2"/>
              <w:jc w:val="center"/>
              <w:textDirection w:val="lrTb"/>
              <w:rPr>
                <w:color w:val="000000"/>
              </w:rPr>
            </w:pPr>
            <w:r>
              <w:rPr>
                <w:b/>
                <w:color w:val="000000"/>
              </w:rPr>
              <w:t>Assessment of knowledge (maximum no. of points 100)</w:t>
            </w:r>
          </w:p>
        </w:tc>
      </w:tr>
      <w:tr w:rsidR="004A7F04" w14:paraId="5CADA4A0" w14:textId="77777777" w:rsidTr="004A7F04">
        <w:tc>
          <w:tcPr>
            <w:tcW w:w="3671" w:type="dxa"/>
            <w:tcBorders>
              <w:top w:val="single" w:sz="4" w:space="0" w:color="000000"/>
              <w:left w:val="single" w:sz="4" w:space="0" w:color="000000"/>
              <w:bottom w:val="single" w:sz="4" w:space="0" w:color="000000"/>
              <w:right w:val="single" w:sz="4" w:space="0" w:color="000000"/>
            </w:tcBorders>
          </w:tcPr>
          <w:p w14:paraId="11F4F10B" w14:textId="77777777" w:rsidR="004A7F04" w:rsidRDefault="004A7F04" w:rsidP="004A7F04">
            <w:pPr>
              <w:ind w:left="0" w:hanging="2"/>
              <w:jc w:val="center"/>
              <w:textDirection w:val="lrTb"/>
              <w:rPr>
                <w:color w:val="000000"/>
              </w:rPr>
            </w:pPr>
            <w:r>
              <w:rPr>
                <w:b/>
                <w:color w:val="000000"/>
              </w:rPr>
              <w:t>Pre-examination commitments</w:t>
            </w:r>
          </w:p>
        </w:tc>
        <w:tc>
          <w:tcPr>
            <w:tcW w:w="1785" w:type="dxa"/>
            <w:gridSpan w:val="2"/>
            <w:tcBorders>
              <w:top w:val="single" w:sz="4" w:space="0" w:color="000000"/>
              <w:left w:val="single" w:sz="4" w:space="0" w:color="000000"/>
              <w:bottom w:val="single" w:sz="4" w:space="0" w:color="000000"/>
              <w:right w:val="single" w:sz="4" w:space="0" w:color="000000"/>
            </w:tcBorders>
          </w:tcPr>
          <w:p w14:paraId="7CCFE0D9" w14:textId="77777777" w:rsidR="004A7F04" w:rsidRDefault="004A7F04" w:rsidP="004A7F04">
            <w:pPr>
              <w:ind w:left="0" w:hanging="2"/>
              <w:jc w:val="center"/>
              <w:textDirection w:val="lrTb"/>
              <w:rPr>
                <w:color w:val="000000"/>
              </w:rPr>
            </w:pPr>
            <w:r>
              <w:rPr>
                <w:b/>
                <w:color w:val="000000"/>
              </w:rPr>
              <w:t>points</w:t>
            </w:r>
          </w:p>
        </w:tc>
        <w:tc>
          <w:tcPr>
            <w:tcW w:w="3065" w:type="dxa"/>
            <w:gridSpan w:val="2"/>
            <w:tcBorders>
              <w:top w:val="single" w:sz="4" w:space="0" w:color="000000"/>
              <w:left w:val="single" w:sz="4" w:space="0" w:color="000000"/>
              <w:bottom w:val="single" w:sz="4" w:space="0" w:color="000000"/>
              <w:right w:val="single" w:sz="4" w:space="0" w:color="000000"/>
            </w:tcBorders>
          </w:tcPr>
          <w:p w14:paraId="4DF1EB54" w14:textId="77777777" w:rsidR="004A7F04" w:rsidRDefault="004A7F04" w:rsidP="004A7F04">
            <w:pPr>
              <w:ind w:left="0" w:hanging="2"/>
              <w:jc w:val="center"/>
              <w:textDirection w:val="lrTb"/>
              <w:rPr>
                <w:color w:val="000000"/>
              </w:rPr>
            </w:pPr>
            <w:r>
              <w:rPr>
                <w:color w:val="000000"/>
              </w:rPr>
              <w:t xml:space="preserve">Final examination </w:t>
            </w:r>
          </w:p>
        </w:tc>
        <w:tc>
          <w:tcPr>
            <w:tcW w:w="1396" w:type="dxa"/>
            <w:tcBorders>
              <w:top w:val="single" w:sz="4" w:space="0" w:color="000000"/>
              <w:left w:val="single" w:sz="4" w:space="0" w:color="000000"/>
              <w:bottom w:val="single" w:sz="4" w:space="0" w:color="000000"/>
              <w:right w:val="single" w:sz="4" w:space="0" w:color="000000"/>
            </w:tcBorders>
          </w:tcPr>
          <w:p w14:paraId="54DDD127" w14:textId="77777777" w:rsidR="004A7F04" w:rsidRDefault="004A7F04" w:rsidP="004A7F04">
            <w:pPr>
              <w:ind w:left="0" w:hanging="2"/>
              <w:jc w:val="center"/>
              <w:textDirection w:val="lrTb"/>
              <w:rPr>
                <w:color w:val="000000"/>
              </w:rPr>
            </w:pPr>
            <w:r>
              <w:rPr>
                <w:i/>
                <w:color w:val="000000"/>
              </w:rPr>
              <w:t>points</w:t>
            </w:r>
          </w:p>
        </w:tc>
      </w:tr>
      <w:tr w:rsidR="004A7F04" w14:paraId="762F3BD6" w14:textId="77777777" w:rsidTr="004A7F04">
        <w:tc>
          <w:tcPr>
            <w:tcW w:w="3671" w:type="dxa"/>
            <w:tcBorders>
              <w:top w:val="single" w:sz="4" w:space="0" w:color="000000"/>
              <w:left w:val="single" w:sz="4" w:space="0" w:color="000000"/>
              <w:bottom w:val="single" w:sz="4" w:space="0" w:color="000000"/>
              <w:right w:val="single" w:sz="4" w:space="0" w:color="000000"/>
            </w:tcBorders>
          </w:tcPr>
          <w:p w14:paraId="0C9177B4" w14:textId="77777777" w:rsidR="004A7F04" w:rsidRDefault="004A7F04" w:rsidP="004A7F04">
            <w:pPr>
              <w:ind w:left="0" w:hanging="2"/>
              <w:jc w:val="center"/>
              <w:textDirection w:val="lrTb"/>
              <w:rPr>
                <w:color w:val="000000"/>
              </w:rPr>
            </w:pPr>
            <w:r>
              <w:rPr>
                <w:color w:val="000000"/>
              </w:rPr>
              <w:t>activity</w:t>
            </w:r>
          </w:p>
        </w:tc>
        <w:tc>
          <w:tcPr>
            <w:tcW w:w="1785" w:type="dxa"/>
            <w:gridSpan w:val="2"/>
            <w:tcBorders>
              <w:top w:val="single" w:sz="4" w:space="0" w:color="000000"/>
              <w:left w:val="single" w:sz="4" w:space="0" w:color="000000"/>
              <w:bottom w:val="single" w:sz="4" w:space="0" w:color="000000"/>
              <w:right w:val="single" w:sz="4" w:space="0" w:color="000000"/>
            </w:tcBorders>
          </w:tcPr>
          <w:p w14:paraId="43A9E53E" w14:textId="77777777" w:rsidR="004A7F04" w:rsidRDefault="004A7F04" w:rsidP="004A7F04">
            <w:pPr>
              <w:tabs>
                <w:tab w:val="left" w:pos="1200"/>
              </w:tabs>
              <w:ind w:left="0" w:hanging="2"/>
              <w:jc w:val="center"/>
              <w:textDirection w:val="lrTb"/>
              <w:rPr>
                <w:color w:val="000000"/>
              </w:rPr>
            </w:pPr>
          </w:p>
        </w:tc>
        <w:tc>
          <w:tcPr>
            <w:tcW w:w="3065" w:type="dxa"/>
            <w:gridSpan w:val="2"/>
            <w:tcBorders>
              <w:top w:val="single" w:sz="4" w:space="0" w:color="000000"/>
              <w:left w:val="single" w:sz="4" w:space="0" w:color="000000"/>
              <w:bottom w:val="single" w:sz="4" w:space="0" w:color="000000"/>
              <w:right w:val="single" w:sz="4" w:space="0" w:color="000000"/>
            </w:tcBorders>
          </w:tcPr>
          <w:p w14:paraId="67CC65D8" w14:textId="77777777" w:rsidR="004A7F04" w:rsidRDefault="004A7F04" w:rsidP="004A7F04">
            <w:pPr>
              <w:ind w:left="0" w:hanging="2"/>
              <w:jc w:val="center"/>
              <w:textDirection w:val="lrTb"/>
              <w:rPr>
                <w:color w:val="000000"/>
              </w:rPr>
            </w:pPr>
            <w:r>
              <w:rPr>
                <w:color w:val="000000"/>
              </w:rPr>
              <w:t>written test</w:t>
            </w:r>
          </w:p>
        </w:tc>
        <w:tc>
          <w:tcPr>
            <w:tcW w:w="1396" w:type="dxa"/>
            <w:tcBorders>
              <w:top w:val="single" w:sz="4" w:space="0" w:color="000000"/>
              <w:left w:val="single" w:sz="4" w:space="0" w:color="000000"/>
              <w:bottom w:val="single" w:sz="4" w:space="0" w:color="000000"/>
              <w:right w:val="single" w:sz="4" w:space="0" w:color="000000"/>
            </w:tcBorders>
          </w:tcPr>
          <w:p w14:paraId="276C0602" w14:textId="0EA43ACD" w:rsidR="004A7F04" w:rsidRDefault="00D95843" w:rsidP="004A7F04">
            <w:pPr>
              <w:ind w:left="0" w:hanging="2"/>
              <w:jc w:val="center"/>
              <w:textDirection w:val="lrTb"/>
              <w:rPr>
                <w:color w:val="000000"/>
              </w:rPr>
            </w:pPr>
            <w:r>
              <w:rPr>
                <w:b/>
                <w:color w:val="000000"/>
              </w:rPr>
              <w:t>7</w:t>
            </w:r>
            <w:r w:rsidR="004A7F04">
              <w:rPr>
                <w:b/>
                <w:color w:val="000000"/>
              </w:rPr>
              <w:t>0</w:t>
            </w:r>
          </w:p>
        </w:tc>
      </w:tr>
      <w:tr w:rsidR="004A7F04" w14:paraId="01037C1F" w14:textId="77777777" w:rsidTr="004A7F04">
        <w:tc>
          <w:tcPr>
            <w:tcW w:w="3671" w:type="dxa"/>
            <w:tcBorders>
              <w:top w:val="single" w:sz="4" w:space="0" w:color="000000"/>
              <w:left w:val="single" w:sz="4" w:space="0" w:color="000000"/>
              <w:bottom w:val="single" w:sz="4" w:space="0" w:color="000000"/>
              <w:right w:val="single" w:sz="4" w:space="0" w:color="000000"/>
            </w:tcBorders>
          </w:tcPr>
          <w:p w14:paraId="0D177B07" w14:textId="77777777" w:rsidR="004A7F04" w:rsidRDefault="004A7F04" w:rsidP="004A7F04">
            <w:pPr>
              <w:ind w:left="0" w:hanging="2"/>
              <w:jc w:val="center"/>
              <w:textDirection w:val="lrTb"/>
              <w:rPr>
                <w:color w:val="000000"/>
              </w:rPr>
            </w:pPr>
            <w:r>
              <w:rPr>
                <w:color w:val="000000"/>
              </w:rPr>
              <w:t>practical teaching</w:t>
            </w:r>
          </w:p>
        </w:tc>
        <w:tc>
          <w:tcPr>
            <w:tcW w:w="1785" w:type="dxa"/>
            <w:gridSpan w:val="2"/>
            <w:tcBorders>
              <w:top w:val="single" w:sz="4" w:space="0" w:color="000000"/>
              <w:left w:val="single" w:sz="4" w:space="0" w:color="000000"/>
              <w:bottom w:val="single" w:sz="4" w:space="0" w:color="000000"/>
              <w:right w:val="single" w:sz="4" w:space="0" w:color="000000"/>
            </w:tcBorders>
          </w:tcPr>
          <w:p w14:paraId="58D77FCD" w14:textId="2B7F0B78" w:rsidR="004A7F04" w:rsidRPr="00D95843" w:rsidRDefault="00D95843" w:rsidP="004A7F04">
            <w:pPr>
              <w:ind w:left="0" w:hanging="2"/>
              <w:jc w:val="center"/>
              <w:textDirection w:val="lrTb"/>
              <w:rPr>
                <w:b/>
                <w:bCs/>
                <w:color w:val="000000"/>
              </w:rPr>
            </w:pPr>
            <w:r w:rsidRPr="00D95843">
              <w:rPr>
                <w:b/>
                <w:bCs/>
                <w:color w:val="000000"/>
              </w:rPr>
              <w:t>30</w:t>
            </w:r>
          </w:p>
        </w:tc>
        <w:tc>
          <w:tcPr>
            <w:tcW w:w="3065" w:type="dxa"/>
            <w:gridSpan w:val="2"/>
            <w:tcBorders>
              <w:top w:val="single" w:sz="4" w:space="0" w:color="000000"/>
              <w:left w:val="single" w:sz="4" w:space="0" w:color="000000"/>
              <w:bottom w:val="single" w:sz="4" w:space="0" w:color="000000"/>
              <w:right w:val="single" w:sz="4" w:space="0" w:color="000000"/>
            </w:tcBorders>
          </w:tcPr>
          <w:p w14:paraId="5E4EC785" w14:textId="77777777" w:rsidR="004A7F04" w:rsidRDefault="004A7F04" w:rsidP="004A7F04">
            <w:pPr>
              <w:ind w:left="0" w:hanging="2"/>
              <w:jc w:val="center"/>
              <w:textDirection w:val="lrTb"/>
              <w:rPr>
                <w:color w:val="000000"/>
              </w:rPr>
            </w:pPr>
            <w:r>
              <w:rPr>
                <w:color w:val="000000"/>
              </w:rPr>
              <w:t>oral examination</w:t>
            </w:r>
          </w:p>
        </w:tc>
        <w:tc>
          <w:tcPr>
            <w:tcW w:w="1396" w:type="dxa"/>
            <w:tcBorders>
              <w:top w:val="single" w:sz="4" w:space="0" w:color="000000"/>
              <w:left w:val="single" w:sz="4" w:space="0" w:color="000000"/>
              <w:bottom w:val="single" w:sz="4" w:space="0" w:color="000000"/>
              <w:right w:val="single" w:sz="4" w:space="0" w:color="000000"/>
            </w:tcBorders>
          </w:tcPr>
          <w:p w14:paraId="0F491050" w14:textId="77777777" w:rsidR="004A7F04" w:rsidRDefault="004A7F04" w:rsidP="004A7F04">
            <w:pPr>
              <w:ind w:left="0" w:hanging="2"/>
              <w:jc w:val="center"/>
              <w:textDirection w:val="lrTb"/>
              <w:rPr>
                <w:color w:val="000000"/>
              </w:rPr>
            </w:pPr>
          </w:p>
        </w:tc>
      </w:tr>
      <w:tr w:rsidR="004A7F04" w14:paraId="6E959471" w14:textId="77777777" w:rsidTr="004A7F04">
        <w:tc>
          <w:tcPr>
            <w:tcW w:w="3671" w:type="dxa"/>
            <w:tcBorders>
              <w:top w:val="single" w:sz="4" w:space="0" w:color="000000"/>
              <w:left w:val="single" w:sz="4" w:space="0" w:color="000000"/>
              <w:bottom w:val="single" w:sz="4" w:space="0" w:color="000000"/>
              <w:right w:val="single" w:sz="4" w:space="0" w:color="000000"/>
            </w:tcBorders>
          </w:tcPr>
          <w:p w14:paraId="7DBD676E" w14:textId="77777777" w:rsidR="004A7F04" w:rsidRDefault="004A7F04" w:rsidP="004A7F04">
            <w:pPr>
              <w:ind w:left="0" w:hanging="2"/>
              <w:jc w:val="center"/>
              <w:textDirection w:val="lrTb"/>
              <w:rPr>
                <w:color w:val="000000"/>
              </w:rPr>
            </w:pPr>
            <w:r>
              <w:rPr>
                <w:color w:val="000000"/>
              </w:rPr>
              <w:t>colloquium(a)</w:t>
            </w:r>
          </w:p>
        </w:tc>
        <w:tc>
          <w:tcPr>
            <w:tcW w:w="1785" w:type="dxa"/>
            <w:gridSpan w:val="2"/>
            <w:tcBorders>
              <w:top w:val="single" w:sz="4" w:space="0" w:color="000000"/>
              <w:left w:val="single" w:sz="4" w:space="0" w:color="000000"/>
              <w:bottom w:val="single" w:sz="4" w:space="0" w:color="000000"/>
              <w:right w:val="single" w:sz="4" w:space="0" w:color="000000"/>
            </w:tcBorders>
          </w:tcPr>
          <w:p w14:paraId="6635F3AD" w14:textId="77777777" w:rsidR="004A7F04" w:rsidRDefault="004A7F04" w:rsidP="004A7F04">
            <w:pPr>
              <w:ind w:left="0" w:hanging="2"/>
              <w:jc w:val="center"/>
              <w:textDirection w:val="lrTb"/>
              <w:rPr>
                <w:color w:val="000000"/>
              </w:rPr>
            </w:pPr>
          </w:p>
        </w:tc>
        <w:tc>
          <w:tcPr>
            <w:tcW w:w="3065" w:type="dxa"/>
            <w:gridSpan w:val="2"/>
            <w:tcBorders>
              <w:top w:val="single" w:sz="4" w:space="0" w:color="000000"/>
              <w:left w:val="single" w:sz="4" w:space="0" w:color="000000"/>
              <w:bottom w:val="single" w:sz="4" w:space="0" w:color="000000"/>
              <w:right w:val="single" w:sz="4" w:space="0" w:color="000000"/>
            </w:tcBorders>
          </w:tcPr>
          <w:p w14:paraId="3ED21DDF" w14:textId="77777777" w:rsidR="004A7F04" w:rsidRDefault="004A7F04" w:rsidP="004A7F04">
            <w:pPr>
              <w:ind w:left="0" w:hanging="2"/>
              <w:jc w:val="center"/>
              <w:textDirection w:val="lrTb"/>
              <w:rPr>
                <w:color w:val="000000"/>
              </w:rPr>
            </w:pPr>
            <w:r>
              <w:rPr>
                <w:i/>
                <w:color w:val="000000"/>
              </w:rPr>
              <w:t>..........</w:t>
            </w:r>
          </w:p>
        </w:tc>
        <w:tc>
          <w:tcPr>
            <w:tcW w:w="1396" w:type="dxa"/>
            <w:tcBorders>
              <w:top w:val="single" w:sz="4" w:space="0" w:color="000000"/>
              <w:left w:val="single" w:sz="4" w:space="0" w:color="000000"/>
              <w:bottom w:val="single" w:sz="4" w:space="0" w:color="000000"/>
              <w:right w:val="single" w:sz="4" w:space="0" w:color="000000"/>
            </w:tcBorders>
          </w:tcPr>
          <w:p w14:paraId="1DD0CEAD" w14:textId="77777777" w:rsidR="004A7F04" w:rsidRDefault="004A7F04" w:rsidP="004A7F04">
            <w:pPr>
              <w:ind w:left="0" w:hanging="2"/>
              <w:jc w:val="center"/>
              <w:textDirection w:val="lrTb"/>
              <w:rPr>
                <w:color w:val="000000"/>
              </w:rPr>
            </w:pPr>
          </w:p>
        </w:tc>
      </w:tr>
      <w:tr w:rsidR="004A7F04" w14:paraId="1EE4EE20" w14:textId="77777777" w:rsidTr="004A7F04">
        <w:tc>
          <w:tcPr>
            <w:tcW w:w="3671" w:type="dxa"/>
            <w:tcBorders>
              <w:top w:val="single" w:sz="4" w:space="0" w:color="000000"/>
              <w:left w:val="single" w:sz="4" w:space="0" w:color="000000"/>
              <w:bottom w:val="single" w:sz="4" w:space="0" w:color="000000"/>
              <w:right w:val="single" w:sz="4" w:space="0" w:color="000000"/>
            </w:tcBorders>
          </w:tcPr>
          <w:p w14:paraId="7B6CABD5" w14:textId="77777777" w:rsidR="004A7F04" w:rsidRDefault="004A7F04" w:rsidP="004A7F04">
            <w:pPr>
              <w:ind w:left="0" w:hanging="2"/>
              <w:jc w:val="center"/>
              <w:textDirection w:val="lrTb"/>
              <w:rPr>
                <w:color w:val="000000"/>
              </w:rPr>
            </w:pPr>
            <w:r>
              <w:rPr>
                <w:color w:val="000000"/>
              </w:rPr>
              <w:t>seminar(s)</w:t>
            </w:r>
          </w:p>
        </w:tc>
        <w:tc>
          <w:tcPr>
            <w:tcW w:w="1785" w:type="dxa"/>
            <w:gridSpan w:val="2"/>
            <w:tcBorders>
              <w:top w:val="single" w:sz="4" w:space="0" w:color="000000"/>
              <w:left w:val="single" w:sz="4" w:space="0" w:color="000000"/>
              <w:bottom w:val="single" w:sz="4" w:space="0" w:color="000000"/>
              <w:right w:val="single" w:sz="4" w:space="0" w:color="000000"/>
            </w:tcBorders>
          </w:tcPr>
          <w:p w14:paraId="13090317" w14:textId="77777777" w:rsidR="004A7F04" w:rsidRDefault="004A7F04" w:rsidP="004A7F04">
            <w:pPr>
              <w:ind w:left="0" w:hanging="2"/>
              <w:jc w:val="center"/>
              <w:textDirection w:val="lrTb"/>
              <w:rPr>
                <w:color w:val="000000"/>
              </w:rPr>
            </w:pPr>
          </w:p>
        </w:tc>
        <w:tc>
          <w:tcPr>
            <w:tcW w:w="3065" w:type="dxa"/>
            <w:gridSpan w:val="2"/>
            <w:tcBorders>
              <w:top w:val="single" w:sz="4" w:space="0" w:color="000000"/>
              <w:left w:val="single" w:sz="4" w:space="0" w:color="000000"/>
              <w:bottom w:val="single" w:sz="4" w:space="0" w:color="000000"/>
              <w:right w:val="single" w:sz="4" w:space="0" w:color="000000"/>
            </w:tcBorders>
          </w:tcPr>
          <w:p w14:paraId="5BC854CF" w14:textId="77777777" w:rsidR="004A7F04" w:rsidRDefault="004A7F04" w:rsidP="004A7F04">
            <w:pPr>
              <w:ind w:left="0" w:hanging="2"/>
              <w:jc w:val="center"/>
              <w:textDirection w:val="lrTb"/>
              <w:rPr>
                <w:color w:val="000000"/>
              </w:rPr>
            </w:pPr>
          </w:p>
        </w:tc>
        <w:tc>
          <w:tcPr>
            <w:tcW w:w="1396" w:type="dxa"/>
            <w:tcBorders>
              <w:top w:val="single" w:sz="4" w:space="0" w:color="000000"/>
              <w:left w:val="single" w:sz="4" w:space="0" w:color="000000"/>
              <w:bottom w:val="single" w:sz="4" w:space="0" w:color="000000"/>
              <w:right w:val="single" w:sz="4" w:space="0" w:color="000000"/>
            </w:tcBorders>
          </w:tcPr>
          <w:p w14:paraId="2F6A5FAB" w14:textId="77777777" w:rsidR="004A7F04" w:rsidRDefault="004A7F04" w:rsidP="004A7F04">
            <w:pPr>
              <w:ind w:left="0" w:hanging="2"/>
              <w:jc w:val="center"/>
              <w:textDirection w:val="lrTb"/>
              <w:rPr>
                <w:color w:val="000000"/>
              </w:rPr>
            </w:pPr>
          </w:p>
        </w:tc>
      </w:tr>
    </w:tbl>
    <w:p w14:paraId="162FB79E" w14:textId="77777777" w:rsidR="004543D1" w:rsidRDefault="004543D1">
      <w:pPr>
        <w:pBdr>
          <w:top w:val="nil"/>
          <w:left w:val="nil"/>
          <w:bottom w:val="nil"/>
          <w:right w:val="nil"/>
          <w:between w:val="nil"/>
        </w:pBdr>
        <w:spacing w:line="276" w:lineRule="auto"/>
        <w:ind w:left="0" w:hanging="2"/>
        <w:rPr>
          <w:rFonts w:ascii="Arial" w:eastAsia="Arial" w:hAnsi="Arial" w:cs="Arial"/>
          <w:color w:val="000000"/>
          <w:sz w:val="22"/>
          <w:szCs w:val="22"/>
        </w:rPr>
      </w:pPr>
    </w:p>
    <w:p w14:paraId="53CFDEBE" w14:textId="77777777" w:rsidR="004543D1" w:rsidRDefault="004543D1">
      <w:pPr>
        <w:ind w:left="0" w:hanging="2"/>
        <w:rPr>
          <w:color w:val="000000"/>
        </w:rPr>
      </w:pPr>
    </w:p>
    <w:p w14:paraId="68A112A3" w14:textId="77777777" w:rsidR="004543D1" w:rsidRDefault="004543D1">
      <w:pPr>
        <w:ind w:left="0" w:hanging="2"/>
        <w:rPr>
          <w:color w:val="000000"/>
        </w:rPr>
      </w:pPr>
    </w:p>
    <w:sectPr w:rsidR="004543D1">
      <w:pgSz w:w="11906" w:h="16838"/>
      <w:pgMar w:top="1417" w:right="1418" w:bottom="1417" w:left="1418"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Georgia">
    <w:altName w:val="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3D1"/>
    <w:rsid w:val="004543D1"/>
    <w:rsid w:val="004A7F04"/>
    <w:rsid w:val="00A87528"/>
    <w:rsid w:val="00D95843"/>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decimalSymbol w:val="."/>
  <w:listSeparator w:val=","/>
  <w14:docId w14:val="007465C9"/>
  <w15:docId w15:val="{4FFF8AB6-32DE-9348-AF06-049E485636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GB"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autoSpaceDE w:val="0"/>
      <w:autoSpaceDN w:val="0"/>
      <w:adjustRightInd w:val="0"/>
      <w:spacing w:line="1" w:lineRule="atLeast"/>
      <w:ind w:leftChars="-1" w:left="-1" w:hangingChars="1" w:hanging="1"/>
      <w:textDirection w:val="btLr"/>
      <w:textAlignment w:val="top"/>
      <w:outlineLvl w:val="0"/>
    </w:pPr>
    <w:rPr>
      <w:position w:val="-1"/>
      <w:lang w:val="sr-Latn" w:eastAsia="sr-Latn"/>
    </w:rPr>
  </w:style>
  <w:style w:type="paragraph" w:styleId="Heading1">
    <w:name w:val="heading 1"/>
    <w:basedOn w:val="Normal"/>
    <w:next w:val="Normal"/>
    <w:uiPriority w:val="9"/>
    <w:qFormat/>
    <w:pPr>
      <w:keepNext/>
      <w:keepLines/>
      <w:spacing w:before="480" w:after="12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FootnoteText">
    <w:name w:val="footnote text"/>
    <w:basedOn w:val="Normal"/>
    <w:pPr>
      <w:widowControl/>
      <w:autoSpaceDE/>
      <w:autoSpaceDN/>
      <w:adjustRightInd/>
      <w:jc w:val="both"/>
    </w:pPr>
    <w:rPr>
      <w:lang w:val="de-DE" w:eastAsia="en-US"/>
    </w:rPr>
  </w:style>
  <w:style w:type="character" w:customStyle="1" w:styleId="FootnoteTextChar">
    <w:name w:val="Footnote Text Char"/>
    <w:rPr>
      <w:w w:val="100"/>
      <w:position w:val="-1"/>
      <w:effect w:val="none"/>
      <w:vertAlign w:val="baseline"/>
      <w:cs w:val="0"/>
      <w:em w:val="none"/>
      <w:lang w:val="de-DE"/>
    </w:rPr>
  </w:style>
  <w:style w:type="character" w:customStyle="1" w:styleId="sredinanaslov11">
    <w:name w:val="sredinanaslov11"/>
    <w:rPr>
      <w:rFonts w:ascii="Times New Roman" w:hAnsi="Times New Roman"/>
      <w:w w:val="100"/>
      <w:position w:val="-1"/>
      <w:sz w:val="20"/>
      <w:effect w:val="none"/>
      <w:vertAlign w:val="baseline"/>
      <w:cs w:val="0"/>
      <w:em w:val="none"/>
    </w:rPr>
  </w:style>
  <w:style w:type="paragraph" w:styleId="BodyText">
    <w:name w:val="Body Text"/>
    <w:basedOn w:val="Normal"/>
    <w:pPr>
      <w:widowControl/>
      <w:autoSpaceDE/>
      <w:autoSpaceDN/>
      <w:adjustRightInd/>
    </w:pPr>
    <w:rPr>
      <w:sz w:val="24"/>
      <w:lang w:val="en-GB" w:eastAsia="en-US"/>
    </w:rPr>
  </w:style>
  <w:style w:type="character" w:customStyle="1" w:styleId="BodyTextChar">
    <w:name w:val="Body Text Char"/>
    <w:rPr>
      <w:w w:val="100"/>
      <w:position w:val="-1"/>
      <w:sz w:val="24"/>
      <w:effect w:val="none"/>
      <w:vertAlign w:val="baseline"/>
      <w:cs w:val="0"/>
      <w:em w:val="none"/>
      <w:lang w:val="en-GB"/>
    </w:rPr>
  </w:style>
  <w:style w:type="character" w:styleId="Strong">
    <w:name w:val="Strong"/>
    <w:rPr>
      <w:b/>
      <w:w w:val="100"/>
      <w:position w:val="-1"/>
      <w:effect w:val="none"/>
      <w:vertAlign w:val="baseline"/>
      <w:cs w:val="0"/>
      <w:em w:val="none"/>
    </w:rPr>
  </w:style>
  <w:style w:type="paragraph" w:styleId="NormalWeb">
    <w:name w:val="Normal (Web)"/>
    <w:basedOn w:val="Normal"/>
    <w:qFormat/>
    <w:pPr>
      <w:widowControl/>
      <w:autoSpaceDE/>
      <w:autoSpaceDN/>
      <w:adjustRightInd/>
      <w:spacing w:before="100" w:beforeAutospacing="1" w:after="100" w:afterAutospacing="1"/>
    </w:pPr>
    <w:rPr>
      <w:sz w:val="24"/>
      <w:szCs w:val="24"/>
      <w:lang w:val="en-US"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osoiP67mzelHrAseTgIBfvfighg==">AMUW2mV0lSEx05z+y5gQXEKrkUpYRfUkVruK9x6sj0qyNbHl7E0E3IfpmCYla6Fd2BGoqA/lLXK6QWdfP4pU0jDe0ZcDWMAxSt+tjYWaTFm731ec4DqSSGc=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971</Words>
  <Characters>5541</Characters>
  <Application>Microsoft Office Word</Application>
  <DocSecurity>0</DocSecurity>
  <Lines>46</Lines>
  <Paragraphs>12</Paragraphs>
  <ScaleCrop>false</ScaleCrop>
  <Company/>
  <LinksUpToDate>false</LinksUpToDate>
  <CharactersWithSpaces>6500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Pentium4</dc:creator>
  <cp:lastModifiedBy>Nemanja Dzuverovic</cp:lastModifiedBy>
  <cp:revision>4</cp:revision>
  <dcterms:created xsi:type="dcterms:W3CDTF">2021-04-16T12:59:00Z</dcterms:created>
  <dcterms:modified xsi:type="dcterms:W3CDTF">2021-06-13T16:35:00Z</dcterms:modified>
</cp:coreProperties>
</file>